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9BE3" w14:textId="1ABFA237" w:rsidR="00B9599F" w:rsidRDefault="00B9599F" w:rsidP="00B9599F">
      <w:pPr>
        <w:spacing w:after="0"/>
        <w:jc w:val="center"/>
      </w:pPr>
      <w:bookmarkStart w:id="0" w:name="_GoBack"/>
      <w:bookmarkEnd w:id="0"/>
      <w:r>
        <w:t>University of Pittsburgh</w:t>
      </w:r>
    </w:p>
    <w:p w14:paraId="44BED4E6" w14:textId="69C178A6" w:rsidR="00B9599F" w:rsidRDefault="00B9599F" w:rsidP="00B9599F">
      <w:pPr>
        <w:spacing w:after="0"/>
        <w:jc w:val="center"/>
      </w:pPr>
      <w:r>
        <w:t>School of Medicine</w:t>
      </w:r>
    </w:p>
    <w:p w14:paraId="3E3E6866" w14:textId="78520A14" w:rsidR="00B9599F" w:rsidRPr="00BA2E4D" w:rsidRDefault="00B9599F" w:rsidP="00B9599F">
      <w:pPr>
        <w:spacing w:after="0"/>
        <w:jc w:val="center"/>
        <w:rPr>
          <w:b/>
          <w:bCs/>
        </w:rPr>
      </w:pPr>
      <w:r w:rsidRPr="00BA2E4D">
        <w:rPr>
          <w:b/>
          <w:bCs/>
        </w:rPr>
        <w:t>S</w:t>
      </w:r>
      <w:r w:rsidR="00A96E47">
        <w:rPr>
          <w:b/>
          <w:bCs/>
        </w:rPr>
        <w:t xml:space="preserve">cholarship of </w:t>
      </w:r>
      <w:r w:rsidR="00C94397">
        <w:rPr>
          <w:b/>
          <w:bCs/>
        </w:rPr>
        <w:t>Education</w:t>
      </w:r>
      <w:r w:rsidR="009E4269" w:rsidRPr="00BA2E4D">
        <w:rPr>
          <w:b/>
          <w:bCs/>
        </w:rPr>
        <w:t xml:space="preserve"> Product</w:t>
      </w:r>
      <w:r w:rsidRPr="00BA2E4D">
        <w:rPr>
          <w:b/>
          <w:bCs/>
        </w:rPr>
        <w:t xml:space="preserve"> Summary Form</w:t>
      </w:r>
    </w:p>
    <w:p w14:paraId="7B763A58" w14:textId="48CCB7DF" w:rsidR="00B9599F" w:rsidRDefault="00B9599F" w:rsidP="00B9599F">
      <w:pPr>
        <w:spacing w:after="0"/>
        <w:jc w:val="center"/>
      </w:pPr>
      <w:r>
        <w:t>Faculty Appointments, Promotions and Conferral of Tenure</w:t>
      </w:r>
    </w:p>
    <w:p w14:paraId="733B422E" w14:textId="4366DADE" w:rsidR="00B9599F" w:rsidRPr="003C58F1" w:rsidRDefault="00B9599F" w:rsidP="00B9599F">
      <w:pPr>
        <w:spacing w:after="0"/>
        <w:jc w:val="center"/>
        <w:rPr>
          <w:sz w:val="18"/>
          <w:szCs w:val="18"/>
        </w:rPr>
      </w:pPr>
    </w:p>
    <w:p w14:paraId="5BE74FBD" w14:textId="117DC6D8" w:rsidR="00B9599F" w:rsidRPr="00FB29F5" w:rsidRDefault="00B9599F" w:rsidP="00B9599F">
      <w:pPr>
        <w:spacing w:after="0"/>
        <w:rPr>
          <w:b/>
          <w:bCs/>
          <w:sz w:val="24"/>
          <w:szCs w:val="24"/>
        </w:rPr>
      </w:pPr>
      <w:r w:rsidRPr="00FB29F5">
        <w:rPr>
          <w:b/>
          <w:bCs/>
          <w:sz w:val="24"/>
          <w:szCs w:val="24"/>
        </w:rPr>
        <w:t>Name:</w:t>
      </w:r>
    </w:p>
    <w:p w14:paraId="2141F9A7" w14:textId="48F0999F" w:rsidR="00B9599F" w:rsidRPr="00FB29F5" w:rsidRDefault="00B9599F" w:rsidP="00B9599F">
      <w:pPr>
        <w:spacing w:after="0"/>
        <w:rPr>
          <w:b/>
          <w:bCs/>
          <w:sz w:val="24"/>
          <w:szCs w:val="24"/>
        </w:rPr>
      </w:pPr>
      <w:r w:rsidRPr="00FB29F5">
        <w:rPr>
          <w:b/>
          <w:bCs/>
          <w:sz w:val="24"/>
          <w:szCs w:val="24"/>
        </w:rPr>
        <w:t>Primary Department:</w:t>
      </w:r>
    </w:p>
    <w:p w14:paraId="514244EC" w14:textId="765AFB9B" w:rsidR="00B9599F" w:rsidRPr="00106903" w:rsidRDefault="00B9599F" w:rsidP="00B9599F">
      <w:pPr>
        <w:spacing w:after="0"/>
        <w:rPr>
          <w:sz w:val="24"/>
          <w:szCs w:val="24"/>
        </w:rPr>
      </w:pPr>
    </w:p>
    <w:p w14:paraId="1B735C67" w14:textId="27DEF637" w:rsidR="00B9599F" w:rsidRPr="00106903" w:rsidRDefault="00B9599F" w:rsidP="00B9599F">
      <w:pPr>
        <w:spacing w:after="0"/>
        <w:rPr>
          <w:sz w:val="24"/>
          <w:szCs w:val="24"/>
        </w:rPr>
      </w:pPr>
      <w:r w:rsidRPr="00106903">
        <w:rPr>
          <w:sz w:val="24"/>
          <w:szCs w:val="24"/>
        </w:rPr>
        <w:t>This is a summary form</w:t>
      </w:r>
      <w:r w:rsidR="009E4269" w:rsidRPr="00106903">
        <w:rPr>
          <w:sz w:val="24"/>
          <w:szCs w:val="24"/>
        </w:rPr>
        <w:t xml:space="preserve"> to demonstrate your</w:t>
      </w:r>
      <w:r w:rsidR="00A96E47" w:rsidRPr="00106903">
        <w:rPr>
          <w:sz w:val="24"/>
          <w:szCs w:val="24"/>
        </w:rPr>
        <w:t xml:space="preserve"> </w:t>
      </w:r>
      <w:r w:rsidR="00BA2E4D" w:rsidRPr="00106903">
        <w:rPr>
          <w:b/>
          <w:bCs/>
          <w:sz w:val="24"/>
          <w:szCs w:val="24"/>
        </w:rPr>
        <w:t>Scholarship</w:t>
      </w:r>
      <w:r w:rsidR="00A96E47" w:rsidRPr="00106903">
        <w:rPr>
          <w:b/>
          <w:bCs/>
          <w:sz w:val="24"/>
          <w:szCs w:val="24"/>
        </w:rPr>
        <w:t xml:space="preserve"> of </w:t>
      </w:r>
      <w:r w:rsidR="00C94397">
        <w:rPr>
          <w:b/>
          <w:bCs/>
          <w:sz w:val="24"/>
          <w:szCs w:val="24"/>
        </w:rPr>
        <w:t>Education</w:t>
      </w:r>
      <w:r w:rsidR="009E4269" w:rsidRPr="00106903">
        <w:rPr>
          <w:b/>
          <w:bCs/>
          <w:sz w:val="24"/>
          <w:szCs w:val="24"/>
        </w:rPr>
        <w:t xml:space="preserve"> Products</w:t>
      </w:r>
      <w:r w:rsidRPr="00106903">
        <w:rPr>
          <w:sz w:val="24"/>
          <w:szCs w:val="24"/>
        </w:rPr>
        <w:t>.  Detailed information should be included in the curriculum vitae</w:t>
      </w:r>
      <w:r w:rsidR="007D73CD">
        <w:rPr>
          <w:sz w:val="24"/>
          <w:szCs w:val="24"/>
        </w:rPr>
        <w:t xml:space="preserve"> under </w:t>
      </w:r>
      <w:r w:rsidR="007D73CD" w:rsidRPr="00236567">
        <w:rPr>
          <w:b/>
          <w:bCs/>
          <w:sz w:val="24"/>
          <w:szCs w:val="24"/>
        </w:rPr>
        <w:t>Publication Equiv</w:t>
      </w:r>
      <w:r w:rsidR="00160822">
        <w:rPr>
          <w:b/>
          <w:bCs/>
          <w:sz w:val="24"/>
          <w:szCs w:val="24"/>
        </w:rPr>
        <w:t>a</w:t>
      </w:r>
      <w:r w:rsidR="007D73CD" w:rsidRPr="00236567">
        <w:rPr>
          <w:b/>
          <w:bCs/>
          <w:sz w:val="24"/>
          <w:szCs w:val="24"/>
        </w:rPr>
        <w:t>lent Scholarly Products</w:t>
      </w:r>
    </w:p>
    <w:p w14:paraId="7CA4208E" w14:textId="3F81D38F" w:rsidR="008C0B48" w:rsidRPr="00106903" w:rsidRDefault="008C0B48" w:rsidP="00B9599F">
      <w:pPr>
        <w:spacing w:after="0"/>
        <w:rPr>
          <w:sz w:val="24"/>
          <w:szCs w:val="24"/>
        </w:rPr>
      </w:pPr>
    </w:p>
    <w:p w14:paraId="05134370" w14:textId="138B53C1" w:rsidR="008C0B48" w:rsidRPr="00106903" w:rsidRDefault="008C0B48" w:rsidP="008C0B48">
      <w:pPr>
        <w:spacing w:after="0"/>
        <w:rPr>
          <w:sz w:val="24"/>
          <w:szCs w:val="24"/>
        </w:rPr>
      </w:pPr>
      <w:r w:rsidRPr="00106903">
        <w:rPr>
          <w:b/>
          <w:sz w:val="24"/>
          <w:szCs w:val="24"/>
        </w:rPr>
        <w:t xml:space="preserve">Scholarship of </w:t>
      </w:r>
      <w:r w:rsidR="00C94397">
        <w:rPr>
          <w:b/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:  a unique form of </w:t>
      </w:r>
      <w:r w:rsidR="007D73CD">
        <w:rPr>
          <w:b/>
          <w:bCs/>
          <w:i/>
          <w:iCs/>
          <w:sz w:val="24"/>
          <w:szCs w:val="24"/>
        </w:rPr>
        <w:t>teaching</w:t>
      </w:r>
      <w:r w:rsidRPr="00B95331">
        <w:rPr>
          <w:b/>
          <w:bCs/>
          <w:i/>
          <w:iCs/>
          <w:sz w:val="24"/>
          <w:szCs w:val="24"/>
        </w:rPr>
        <w:t xml:space="preserve"> </w:t>
      </w:r>
      <w:r w:rsidRPr="00106903">
        <w:rPr>
          <w:sz w:val="24"/>
          <w:szCs w:val="24"/>
        </w:rPr>
        <w:t xml:space="preserve">that involves sustained depth of commitment and results in a </w:t>
      </w:r>
      <w:r w:rsidRPr="00B95331">
        <w:rPr>
          <w:b/>
          <w:bCs/>
          <w:i/>
          <w:iCs/>
          <w:sz w:val="24"/>
          <w:szCs w:val="24"/>
        </w:rPr>
        <w:t>product,</w:t>
      </w:r>
      <w:r w:rsidRPr="00106903">
        <w:rPr>
          <w:sz w:val="24"/>
          <w:szCs w:val="24"/>
        </w:rPr>
        <w:t xml:space="preserve"> such as an original peer reviewed publication or </w:t>
      </w:r>
      <w:r w:rsidRPr="00236567">
        <w:rPr>
          <w:b/>
          <w:bCs/>
          <w:i/>
          <w:iCs/>
          <w:sz w:val="24"/>
          <w:szCs w:val="24"/>
        </w:rPr>
        <w:t>publication equivalent scholarly product</w:t>
      </w:r>
      <w:r w:rsidRPr="00106903">
        <w:rPr>
          <w:sz w:val="24"/>
          <w:szCs w:val="24"/>
        </w:rPr>
        <w:t xml:space="preserve">. The Scholarship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should be envisioned as a series of longitudinal actions toward a defined endpoint and resulting in a product.  For example,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7D73CD" w:rsidRPr="00236567">
        <w:rPr>
          <w:i/>
          <w:iCs/>
          <w:sz w:val="24"/>
          <w:szCs w:val="24"/>
        </w:rPr>
        <w:t>teaching</w:t>
      </w:r>
      <w:r w:rsidR="00C94397">
        <w:rPr>
          <w:sz w:val="24"/>
          <w:szCs w:val="24"/>
        </w:rPr>
        <w:t xml:space="preserve"> on a specific clinical topic to medical students constitutes</w:t>
      </w:r>
      <w:r w:rsidRPr="00106903">
        <w:rPr>
          <w:sz w:val="24"/>
          <w:szCs w:val="24"/>
        </w:rPr>
        <w:t xml:space="preserve"> the </w:t>
      </w:r>
      <w:r w:rsidRPr="00106903">
        <w:rPr>
          <w:i/>
          <w:sz w:val="24"/>
          <w:szCs w:val="24"/>
        </w:rPr>
        <w:t xml:space="preserve">activity of </w:t>
      </w:r>
      <w:r w:rsidR="00C94397">
        <w:rPr>
          <w:i/>
          <w:sz w:val="24"/>
          <w:szCs w:val="24"/>
        </w:rPr>
        <w:t>education</w:t>
      </w:r>
      <w:r w:rsidR="007D73CD">
        <w:rPr>
          <w:i/>
          <w:sz w:val="24"/>
          <w:szCs w:val="24"/>
        </w:rPr>
        <w:t xml:space="preserve"> or teaching</w:t>
      </w:r>
      <w:r w:rsidRPr="00106903">
        <w:rPr>
          <w:sz w:val="24"/>
          <w:szCs w:val="24"/>
        </w:rPr>
        <w:t>.  However, developing and defining a</w:t>
      </w:r>
      <w:r w:rsidR="00C94397">
        <w:rPr>
          <w:sz w:val="24"/>
          <w:szCs w:val="24"/>
        </w:rPr>
        <w:t xml:space="preserve">n educational </w:t>
      </w:r>
      <w:r w:rsidRPr="00106903">
        <w:rPr>
          <w:sz w:val="24"/>
          <w:szCs w:val="24"/>
        </w:rPr>
        <w:t xml:space="preserve">activity, and then disseminating the written blue-print that can be built upon by others, is the </w:t>
      </w:r>
      <w:r w:rsidRPr="00106903">
        <w:rPr>
          <w:i/>
          <w:sz w:val="24"/>
          <w:szCs w:val="24"/>
        </w:rPr>
        <w:t>product</w:t>
      </w:r>
      <w:r w:rsidRPr="00106903">
        <w:rPr>
          <w:sz w:val="24"/>
          <w:szCs w:val="24"/>
        </w:rPr>
        <w:t xml:space="preserve"> resulting from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, or the </w:t>
      </w:r>
      <w:r w:rsidRPr="00106903">
        <w:rPr>
          <w:i/>
          <w:sz w:val="24"/>
          <w:szCs w:val="24"/>
        </w:rPr>
        <w:t xml:space="preserve">scholarship of </w:t>
      </w:r>
      <w:r w:rsidR="00C94397">
        <w:rPr>
          <w:i/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– a </w:t>
      </w:r>
      <w:r w:rsidRPr="00236567">
        <w:rPr>
          <w:b/>
          <w:bCs/>
          <w:sz w:val="24"/>
          <w:szCs w:val="24"/>
        </w:rPr>
        <w:t>Publication-Equivalent Scholarly Product</w:t>
      </w:r>
      <w:r w:rsidRPr="00106903">
        <w:rPr>
          <w:sz w:val="24"/>
          <w:szCs w:val="24"/>
        </w:rPr>
        <w:t xml:space="preserve">. While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C94397">
        <w:rPr>
          <w:sz w:val="24"/>
          <w:szCs w:val="24"/>
        </w:rPr>
        <w:t xml:space="preserve">education </w:t>
      </w:r>
      <w:r w:rsidRPr="00106903">
        <w:rPr>
          <w:sz w:val="24"/>
          <w:szCs w:val="24"/>
        </w:rPr>
        <w:t xml:space="preserve">is necessary for promotion for all faculty, the </w:t>
      </w:r>
      <w:r w:rsidRPr="00106903">
        <w:rPr>
          <w:i/>
          <w:sz w:val="24"/>
          <w:szCs w:val="24"/>
        </w:rPr>
        <w:t xml:space="preserve">scholarship of </w:t>
      </w:r>
      <w:r w:rsidR="00C94397">
        <w:rPr>
          <w:i/>
          <w:sz w:val="24"/>
          <w:szCs w:val="24"/>
        </w:rPr>
        <w:t xml:space="preserve">education </w:t>
      </w:r>
      <w:r w:rsidRPr="00106903">
        <w:rPr>
          <w:sz w:val="24"/>
          <w:szCs w:val="24"/>
        </w:rPr>
        <w:t xml:space="preserve">is equivalent to the scholarship of research when faculty are being considered for promotion. The scholarship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may find various outlets for dissemination, such as local</w:t>
      </w:r>
      <w:r w:rsidR="00C94397">
        <w:rPr>
          <w:sz w:val="24"/>
          <w:szCs w:val="24"/>
        </w:rPr>
        <w:t>, regional, or national educational programs</w:t>
      </w:r>
      <w:r w:rsidRPr="00106903">
        <w:rPr>
          <w:sz w:val="24"/>
          <w:szCs w:val="24"/>
        </w:rPr>
        <w:t xml:space="preserve">, </w:t>
      </w:r>
      <w:r w:rsidR="00C94397">
        <w:rPr>
          <w:sz w:val="24"/>
          <w:szCs w:val="24"/>
        </w:rPr>
        <w:t xml:space="preserve">societal or </w:t>
      </w:r>
      <w:r w:rsidRPr="00106903">
        <w:rPr>
          <w:sz w:val="24"/>
          <w:szCs w:val="24"/>
        </w:rPr>
        <w:t>educational websites</w:t>
      </w:r>
      <w:r w:rsidR="00C94397">
        <w:rPr>
          <w:sz w:val="24"/>
          <w:szCs w:val="24"/>
        </w:rPr>
        <w:t>, social media, or</w:t>
      </w:r>
      <w:r w:rsidRPr="00106903">
        <w:rPr>
          <w:sz w:val="24"/>
          <w:szCs w:val="24"/>
        </w:rPr>
        <w:t xml:space="preserve"> podcasts.</w:t>
      </w:r>
    </w:p>
    <w:p w14:paraId="374CBD46" w14:textId="1605FA5A" w:rsidR="008C0B48" w:rsidRPr="00106903" w:rsidRDefault="008C0B48" w:rsidP="008C0B48">
      <w:pPr>
        <w:spacing w:after="0"/>
        <w:rPr>
          <w:sz w:val="24"/>
          <w:szCs w:val="24"/>
        </w:rPr>
      </w:pPr>
    </w:p>
    <w:p w14:paraId="31D52723" w14:textId="771B64D8" w:rsidR="008C0B48" w:rsidRPr="00106903" w:rsidRDefault="008C0B48" w:rsidP="008C0B48">
      <w:pPr>
        <w:spacing w:after="0"/>
        <w:rPr>
          <w:sz w:val="24"/>
          <w:szCs w:val="24"/>
        </w:rPr>
      </w:pPr>
      <w:r w:rsidRPr="00106903">
        <w:rPr>
          <w:b/>
          <w:sz w:val="24"/>
          <w:szCs w:val="24"/>
        </w:rPr>
        <w:t>Publication-Equivalent Scholarly Products</w:t>
      </w:r>
      <w:r w:rsidRPr="00106903">
        <w:rPr>
          <w:sz w:val="24"/>
          <w:szCs w:val="24"/>
        </w:rPr>
        <w:t xml:space="preserve">: scholarly products that generally fulfill the following criteria of being: 1) disseminated, 2) peer reviewed, 3) able to be applied by and built upon by others. Examples could include: </w:t>
      </w:r>
      <w:r w:rsidR="00502E1A">
        <w:rPr>
          <w:sz w:val="24"/>
          <w:szCs w:val="24"/>
        </w:rPr>
        <w:t xml:space="preserve">Curricular materials housed on society-sponsored or </w:t>
      </w:r>
      <w:proofErr w:type="spellStart"/>
      <w:r w:rsidR="00502E1A">
        <w:rPr>
          <w:sz w:val="24"/>
          <w:szCs w:val="24"/>
        </w:rPr>
        <w:t>publically</w:t>
      </w:r>
      <w:proofErr w:type="spellEnd"/>
      <w:r w:rsidR="00502E1A">
        <w:rPr>
          <w:sz w:val="24"/>
          <w:szCs w:val="24"/>
        </w:rPr>
        <w:t xml:space="preserve"> available online learning platforms</w:t>
      </w:r>
      <w:r w:rsidR="00AE56CE">
        <w:rPr>
          <w:sz w:val="24"/>
          <w:szCs w:val="24"/>
        </w:rPr>
        <w:t xml:space="preserve">; </w:t>
      </w:r>
      <w:r w:rsidR="00A16B4D">
        <w:rPr>
          <w:sz w:val="24"/>
          <w:szCs w:val="24"/>
        </w:rPr>
        <w:t>Educational</w:t>
      </w:r>
      <w:r w:rsidR="00EE460C">
        <w:rPr>
          <w:sz w:val="24"/>
          <w:szCs w:val="24"/>
        </w:rPr>
        <w:t xml:space="preserve"> courses or</w:t>
      </w:r>
      <w:r w:rsidR="00A16B4D">
        <w:rPr>
          <w:sz w:val="24"/>
          <w:szCs w:val="24"/>
        </w:rPr>
        <w:t xml:space="preserve"> programs</w:t>
      </w:r>
      <w:r w:rsidR="00EE460C">
        <w:rPr>
          <w:sz w:val="24"/>
          <w:szCs w:val="24"/>
        </w:rPr>
        <w:t>;</w:t>
      </w:r>
      <w:r w:rsidR="00B952E4">
        <w:rPr>
          <w:sz w:val="24"/>
          <w:szCs w:val="24"/>
        </w:rPr>
        <w:t xml:space="preserve"> Published Abstracts, Book </w:t>
      </w:r>
      <w:proofErr w:type="gramStart"/>
      <w:r w:rsidR="00B952E4">
        <w:rPr>
          <w:sz w:val="24"/>
          <w:szCs w:val="24"/>
        </w:rPr>
        <w:t>Chapters,</w:t>
      </w:r>
      <w:r w:rsidR="00EE460C">
        <w:rPr>
          <w:sz w:val="24"/>
          <w:szCs w:val="24"/>
        </w:rPr>
        <w:t xml:space="preserve"> </w:t>
      </w:r>
      <w:r w:rsidRPr="00106903">
        <w:rPr>
          <w:sz w:val="24"/>
          <w:szCs w:val="24"/>
        </w:rPr>
        <w:t xml:space="preserve"> Clinical</w:t>
      </w:r>
      <w:proofErr w:type="gramEnd"/>
      <w:r w:rsidRPr="00106903">
        <w:rPr>
          <w:sz w:val="24"/>
          <w:szCs w:val="24"/>
        </w:rPr>
        <w:t xml:space="preserve"> Practice Guidelines</w:t>
      </w:r>
      <w:r w:rsidR="00B952E4">
        <w:rPr>
          <w:sz w:val="24"/>
          <w:szCs w:val="24"/>
        </w:rPr>
        <w:t xml:space="preserve">, etc. </w:t>
      </w:r>
      <w:r w:rsidR="00502E1A">
        <w:rPr>
          <w:sz w:val="24"/>
          <w:szCs w:val="24"/>
        </w:rPr>
        <w:t xml:space="preserve"> </w:t>
      </w:r>
    </w:p>
    <w:p w14:paraId="7E6212F4" w14:textId="77777777" w:rsidR="008C0B48" w:rsidRPr="00BA2E4D" w:rsidRDefault="008C0B48" w:rsidP="008C0B48">
      <w:pPr>
        <w:spacing w:after="0"/>
        <w:rPr>
          <w:sz w:val="21"/>
          <w:szCs w:val="21"/>
        </w:rPr>
      </w:pPr>
    </w:p>
    <w:p w14:paraId="729DE50B" w14:textId="77777777" w:rsidR="008C0B48" w:rsidRDefault="008C0B48" w:rsidP="00B9599F">
      <w:pPr>
        <w:spacing w:after="0"/>
      </w:pPr>
    </w:p>
    <w:p w14:paraId="7D2A8515" w14:textId="63405F3A" w:rsidR="003C58F1" w:rsidRDefault="003C58F1" w:rsidP="00B9599F">
      <w:pPr>
        <w:spacing w:after="0"/>
      </w:pPr>
    </w:p>
    <w:p w14:paraId="7C73CF8D" w14:textId="548E3E5A" w:rsidR="003C58F1" w:rsidRDefault="00C94397" w:rsidP="003C58F1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Education</w:t>
      </w:r>
    </w:p>
    <w:tbl>
      <w:tblPr>
        <w:tblStyle w:val="TableGrid"/>
        <w:tblW w:w="13405" w:type="dxa"/>
        <w:tblInd w:w="720" w:type="dxa"/>
        <w:tblLook w:val="04A0" w:firstRow="1" w:lastRow="0" w:firstColumn="1" w:lastColumn="0" w:noHBand="0" w:noVBand="1"/>
      </w:tblPr>
      <w:tblGrid>
        <w:gridCol w:w="1486"/>
        <w:gridCol w:w="1560"/>
        <w:gridCol w:w="2086"/>
        <w:gridCol w:w="2963"/>
        <w:gridCol w:w="2520"/>
        <w:gridCol w:w="2790"/>
      </w:tblGrid>
      <w:tr w:rsidR="00CF0C58" w14:paraId="14DAA99B" w14:textId="6C3F0979" w:rsidTr="00FB29F5">
        <w:tc>
          <w:tcPr>
            <w:tcW w:w="1486" w:type="dxa"/>
            <w:shd w:val="clear" w:color="auto" w:fill="D0CECE" w:themeFill="background2" w:themeFillShade="E6"/>
          </w:tcPr>
          <w:p w14:paraId="01EE45E5" w14:textId="2AE9D8F1" w:rsidR="00CF0C58" w:rsidRDefault="00CF0C58" w:rsidP="00A21588">
            <w:pPr>
              <w:jc w:val="center"/>
            </w:pPr>
            <w:r>
              <w:t xml:space="preserve">Name of </w:t>
            </w:r>
            <w:r>
              <w:rPr>
                <w:b/>
                <w:bCs/>
              </w:rPr>
              <w:t xml:space="preserve">Educational </w:t>
            </w:r>
            <w:r w:rsidRPr="00BA2E4D">
              <w:rPr>
                <w:b/>
                <w:bCs/>
              </w:rPr>
              <w:t>Activity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8BF905C" w14:textId="77777777" w:rsidR="00CF0C58" w:rsidRDefault="00CF0C58" w:rsidP="00A21588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SCOPE of Activity</w:t>
            </w:r>
          </w:p>
          <w:p w14:paraId="5B42F08A" w14:textId="3729E4D6" w:rsidR="00CF0C58" w:rsidRDefault="00CF0C58" w:rsidP="00A21588">
            <w:pPr>
              <w:jc w:val="center"/>
            </w:pPr>
            <w:r>
              <w:t>(total number of hours spent on Activity)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14:paraId="3E2EBDFE" w14:textId="77777777" w:rsidR="00CF0C58" w:rsidRDefault="00CF0C58" w:rsidP="0008234F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IMPACT of the Activity</w:t>
            </w:r>
          </w:p>
          <w:p w14:paraId="0B45E7E1" w14:textId="3D865D85" w:rsidR="00CF0C58" w:rsidRPr="00BA2E4D" w:rsidRDefault="00CF0C58" w:rsidP="0008234F">
            <w:pPr>
              <w:jc w:val="center"/>
            </w:pPr>
            <w:r>
              <w:t>(local, regional, national, international)</w:t>
            </w:r>
          </w:p>
        </w:tc>
        <w:tc>
          <w:tcPr>
            <w:tcW w:w="2963" w:type="dxa"/>
            <w:shd w:val="clear" w:color="auto" w:fill="D0CECE" w:themeFill="background2" w:themeFillShade="E6"/>
          </w:tcPr>
          <w:p w14:paraId="0039D8C9" w14:textId="77777777" w:rsidR="00CF0C58" w:rsidRPr="00BA2E4D" w:rsidRDefault="00CF0C58" w:rsidP="0008234F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Endurable PRODUCT resulting from the Activity</w:t>
            </w:r>
          </w:p>
          <w:p w14:paraId="3212C34A" w14:textId="45D0A33A" w:rsidR="00CF0C58" w:rsidRDefault="00CF0C58" w:rsidP="0008234F">
            <w:pPr>
              <w:jc w:val="center"/>
            </w:pPr>
            <w:r>
              <w:t>(Publication Equivalent Scholarly Product)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495B5540" w14:textId="58E2101A" w:rsidR="00CF0C58" w:rsidRPr="00BA2E4D" w:rsidRDefault="00CF0C58" w:rsidP="00082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</w:t>
            </w:r>
            <w:r w:rsidR="00DD1BE9">
              <w:rPr>
                <w:b/>
                <w:bCs/>
              </w:rPr>
              <w:t xml:space="preserve">ption of </w:t>
            </w:r>
            <w:r>
              <w:rPr>
                <w:b/>
                <w:bCs/>
              </w:rPr>
              <w:t>Peer-Review Process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FE26079" w14:textId="5D2A48D0" w:rsidR="00CF0C58" w:rsidRPr="00BA2E4D" w:rsidRDefault="00DD1BE9" w:rsidP="00082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of Dissemination</w:t>
            </w:r>
          </w:p>
        </w:tc>
      </w:tr>
      <w:tr w:rsidR="00CF0C58" w14:paraId="5EBBA6E2" w14:textId="359D06DA" w:rsidTr="00FB29F5">
        <w:tc>
          <w:tcPr>
            <w:tcW w:w="1486" w:type="dxa"/>
          </w:tcPr>
          <w:p w14:paraId="3DFE495D" w14:textId="77777777" w:rsidR="00CF0C58" w:rsidRPr="00236567" w:rsidRDefault="00CF0C58" w:rsidP="00A21588">
            <w:pPr>
              <w:rPr>
                <w:b/>
                <w:bCs/>
                <w:color w:val="4472C4" w:themeColor="accent1"/>
              </w:rPr>
            </w:pPr>
            <w:r w:rsidRPr="00236567">
              <w:rPr>
                <w:b/>
                <w:bCs/>
                <w:color w:val="4472C4" w:themeColor="accent1"/>
              </w:rPr>
              <w:t>Example:</w:t>
            </w:r>
          </w:p>
          <w:p w14:paraId="23A949DF" w14:textId="14F1B140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>Teaching in a</w:t>
            </w:r>
            <w:r>
              <w:rPr>
                <w:color w:val="4472C4" w:themeColor="accent1"/>
              </w:rPr>
              <w:t xml:space="preserve"> faculty </w:t>
            </w:r>
            <w:r>
              <w:rPr>
                <w:color w:val="4472C4" w:themeColor="accent1"/>
              </w:rPr>
              <w:lastRenderedPageBreak/>
              <w:t>development</w:t>
            </w:r>
            <w:r w:rsidRPr="00236567">
              <w:rPr>
                <w:color w:val="4472C4" w:themeColor="accent1"/>
              </w:rPr>
              <w:t xml:space="preserve"> seminar</w:t>
            </w:r>
          </w:p>
        </w:tc>
        <w:tc>
          <w:tcPr>
            <w:tcW w:w="1560" w:type="dxa"/>
          </w:tcPr>
          <w:p w14:paraId="4620B8B4" w14:textId="77434CFF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lastRenderedPageBreak/>
              <w:t xml:space="preserve">2 hours/week each year = </w:t>
            </w:r>
            <w:r w:rsidRPr="00236567">
              <w:rPr>
                <w:color w:val="4472C4" w:themeColor="accent1"/>
              </w:rPr>
              <w:lastRenderedPageBreak/>
              <w:t>100 hours/year</w:t>
            </w:r>
          </w:p>
        </w:tc>
        <w:tc>
          <w:tcPr>
            <w:tcW w:w="2086" w:type="dxa"/>
          </w:tcPr>
          <w:p w14:paraId="2DEDC5E5" w14:textId="49A405AD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lastRenderedPageBreak/>
              <w:t>Local</w:t>
            </w:r>
          </w:p>
        </w:tc>
        <w:tc>
          <w:tcPr>
            <w:tcW w:w="2963" w:type="dxa"/>
          </w:tcPr>
          <w:p w14:paraId="705A9965" w14:textId="0A0FF5B9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 xml:space="preserve">The development of the product </w:t>
            </w:r>
            <w:r w:rsidRPr="00236567">
              <w:rPr>
                <w:b/>
                <w:bCs/>
                <w:color w:val="4472C4" w:themeColor="accent1"/>
              </w:rPr>
              <w:t>FOCUS: Foundations of Clinical Educator Success</w:t>
            </w:r>
            <w:r w:rsidRPr="00236567">
              <w:rPr>
                <w:color w:val="4472C4" w:themeColor="accent1"/>
              </w:rPr>
              <w:t xml:space="preserve">: a </w:t>
            </w:r>
            <w:r w:rsidRPr="00236567">
              <w:rPr>
                <w:color w:val="4472C4" w:themeColor="accent1"/>
              </w:rPr>
              <w:lastRenderedPageBreak/>
              <w:t xml:space="preserve">year-long orientation program offered to all Pitt educators within the first two years of their faculty appointment, consisting of monthly sessions about topics relevant to the academic success of early-career clinician educators. Session are conducted by local faculty experts. The program also includes a year-long mentoring component. Syllabus and supporting materials are posted on the Office of Faculty Affairs website. </w:t>
            </w:r>
          </w:p>
        </w:tc>
        <w:tc>
          <w:tcPr>
            <w:tcW w:w="2520" w:type="dxa"/>
          </w:tcPr>
          <w:p w14:paraId="641CAA1E" w14:textId="5E114ECB" w:rsidR="00CF0C58" w:rsidRPr="00FB29F5" w:rsidRDefault="001661C6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lastRenderedPageBreak/>
              <w:t xml:space="preserve">Curricular materials were reviewed and critiqued by several local medical </w:t>
            </w:r>
            <w:r w:rsidRPr="00FB29F5">
              <w:rPr>
                <w:color w:val="4472C4" w:themeColor="accent1"/>
              </w:rPr>
              <w:lastRenderedPageBreak/>
              <w:t xml:space="preserve">education experts. A national group of </w:t>
            </w:r>
            <w:proofErr w:type="gramStart"/>
            <w:r w:rsidRPr="00FB29F5">
              <w:rPr>
                <w:color w:val="4472C4" w:themeColor="accent1"/>
              </w:rPr>
              <w:t>faculty</w:t>
            </w:r>
            <w:proofErr w:type="gramEnd"/>
            <w:r w:rsidRPr="00FB29F5">
              <w:rPr>
                <w:color w:val="4472C4" w:themeColor="accent1"/>
              </w:rPr>
              <w:t xml:space="preserve"> participating in a longitudinal leadership program also reviewed and provided critical feedback that led to revision of content. </w:t>
            </w:r>
          </w:p>
        </w:tc>
        <w:tc>
          <w:tcPr>
            <w:tcW w:w="2790" w:type="dxa"/>
          </w:tcPr>
          <w:p w14:paraId="3AB72155" w14:textId="0100468E" w:rsidR="00CF0C58" w:rsidRPr="00FB29F5" w:rsidRDefault="00C41ECF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lastRenderedPageBreak/>
              <w:t xml:space="preserve">Participants from 19 departments in the School of Medicine have </w:t>
            </w:r>
            <w:r w:rsidRPr="00FB29F5">
              <w:rPr>
                <w:color w:val="4472C4" w:themeColor="accent1"/>
              </w:rPr>
              <w:lastRenderedPageBreak/>
              <w:t>participated so far</w:t>
            </w:r>
            <w:r w:rsidR="00683DF2" w:rsidRPr="00FB29F5">
              <w:rPr>
                <w:color w:val="4472C4" w:themeColor="accent1"/>
              </w:rPr>
              <w:t>. The impact of the program has been evaluated and results have been shared with the Dean’s office</w:t>
            </w:r>
            <w:r w:rsidR="00785228" w:rsidRPr="00FB29F5">
              <w:rPr>
                <w:color w:val="4472C4" w:themeColor="accent1"/>
              </w:rPr>
              <w:t xml:space="preserve">, as well as through several local and regional/national presentations. </w:t>
            </w:r>
          </w:p>
        </w:tc>
      </w:tr>
      <w:tr w:rsidR="00CF0C58" w14:paraId="5C2A0C3F" w14:textId="3D1F81BF" w:rsidTr="00FB29F5">
        <w:tc>
          <w:tcPr>
            <w:tcW w:w="1486" w:type="dxa"/>
          </w:tcPr>
          <w:p w14:paraId="4A98E0E5" w14:textId="42645837" w:rsidR="00CF0C58" w:rsidRPr="00236567" w:rsidRDefault="00CF0C58" w:rsidP="00A21588">
            <w:pPr>
              <w:rPr>
                <w:b/>
                <w:bCs/>
                <w:color w:val="4472C4" w:themeColor="accent1"/>
              </w:rPr>
            </w:pPr>
            <w:r w:rsidRPr="00236567">
              <w:rPr>
                <w:b/>
                <w:bCs/>
                <w:color w:val="4472C4" w:themeColor="accent1"/>
              </w:rPr>
              <w:lastRenderedPageBreak/>
              <w:t xml:space="preserve">Example: </w:t>
            </w:r>
          </w:p>
          <w:p w14:paraId="5FFE1B38" w14:textId="1E9903C2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>Teaching medical students about Implicit Bias</w:t>
            </w:r>
          </w:p>
        </w:tc>
        <w:tc>
          <w:tcPr>
            <w:tcW w:w="1560" w:type="dxa"/>
          </w:tcPr>
          <w:p w14:paraId="38969D0C" w14:textId="6F31F1C8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>Spending 2 hours/week for a year = 100 hours total</w:t>
            </w:r>
          </w:p>
        </w:tc>
        <w:tc>
          <w:tcPr>
            <w:tcW w:w="2086" w:type="dxa"/>
          </w:tcPr>
          <w:p w14:paraId="0E12AED8" w14:textId="6A156A5C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>Local, Regional, National</w:t>
            </w:r>
          </w:p>
        </w:tc>
        <w:tc>
          <w:tcPr>
            <w:tcW w:w="2963" w:type="dxa"/>
          </w:tcPr>
          <w:p w14:paraId="05139AE6" w14:textId="2319BE7C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 xml:space="preserve">Development of a durable, on-line educational series: </w:t>
            </w:r>
            <w:r w:rsidRPr="00236567">
              <w:rPr>
                <w:b/>
                <w:bCs/>
                <w:color w:val="4472C4" w:themeColor="accent1"/>
              </w:rPr>
              <w:t>“Racism in Medicine and America”.</w:t>
            </w:r>
            <w:r w:rsidRPr="00236567">
              <w:rPr>
                <w:color w:val="4472C4" w:themeColor="accent1"/>
              </w:rPr>
              <w:t xml:space="preserve">  This is a 12-part on-line, educational series with over 24 experts contributing to 12 modules, 15-min each, teaching about Racism.  </w:t>
            </w:r>
          </w:p>
        </w:tc>
        <w:tc>
          <w:tcPr>
            <w:tcW w:w="2520" w:type="dxa"/>
          </w:tcPr>
          <w:p w14:paraId="7CC14271" w14:textId="6D3C620B" w:rsidR="00CF0C58" w:rsidRPr="00FB29F5" w:rsidRDefault="00785228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t>The content was reviewed and critiqued by several local education and DEI experts in the School of Medicine and at the University of Pittsburgh</w:t>
            </w:r>
            <w:r w:rsidR="0092052F" w:rsidRPr="00FB29F5">
              <w:rPr>
                <w:color w:val="4472C4" w:themeColor="accent1"/>
              </w:rPr>
              <w:t xml:space="preserve">. Suggestions for improvement were incorporated to ensure a high-quality product. </w:t>
            </w:r>
          </w:p>
        </w:tc>
        <w:tc>
          <w:tcPr>
            <w:tcW w:w="2790" w:type="dxa"/>
          </w:tcPr>
          <w:p w14:paraId="1D1EE2E3" w14:textId="3F0B6BA7" w:rsidR="00CF0C58" w:rsidRPr="00FB29F5" w:rsidRDefault="0092052F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t xml:space="preserve">The </w:t>
            </w:r>
            <w:r w:rsidR="00D43BE6" w:rsidRPr="00FB29F5">
              <w:rPr>
                <w:color w:val="4472C4" w:themeColor="accent1"/>
              </w:rPr>
              <w:t>modules were access</w:t>
            </w:r>
            <w:r w:rsidR="00D43BE6">
              <w:rPr>
                <w:color w:val="4472C4" w:themeColor="accent1"/>
              </w:rPr>
              <w:t>ed</w:t>
            </w:r>
            <w:r w:rsidR="00D43BE6" w:rsidRPr="00FB29F5">
              <w:rPr>
                <w:color w:val="4472C4" w:themeColor="accent1"/>
              </w:rPr>
              <w:t xml:space="preserve"> over 1100 times since being made </w:t>
            </w:r>
            <w:proofErr w:type="spellStart"/>
            <w:r w:rsidR="00D43BE6" w:rsidRPr="00FB29F5">
              <w:rPr>
                <w:color w:val="4472C4" w:themeColor="accent1"/>
              </w:rPr>
              <w:t>publically</w:t>
            </w:r>
            <w:proofErr w:type="spellEnd"/>
            <w:r w:rsidR="00D43BE6" w:rsidRPr="00FB29F5">
              <w:rPr>
                <w:color w:val="4472C4" w:themeColor="accent1"/>
              </w:rPr>
              <w:t xml:space="preserve"> available. </w:t>
            </w:r>
          </w:p>
        </w:tc>
      </w:tr>
    </w:tbl>
    <w:p w14:paraId="2213077A" w14:textId="4F129781" w:rsidR="00B9599F" w:rsidRDefault="00B9599F" w:rsidP="00B9599F">
      <w:pPr>
        <w:spacing w:after="0"/>
      </w:pPr>
    </w:p>
    <w:p w14:paraId="19A85087" w14:textId="6DAE8B80" w:rsidR="00960434" w:rsidRDefault="00960434" w:rsidP="00BA2E4D">
      <w:pPr>
        <w:spacing w:after="0"/>
      </w:pPr>
    </w:p>
    <w:p w14:paraId="6EAFA5C5" w14:textId="203E4596" w:rsidR="00B9599F" w:rsidRDefault="00B9599F" w:rsidP="00236567">
      <w:pPr>
        <w:spacing w:after="0"/>
      </w:pPr>
    </w:p>
    <w:sectPr w:rsidR="00B9599F" w:rsidSect="00FB29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58D3"/>
    <w:multiLevelType w:val="hybridMultilevel"/>
    <w:tmpl w:val="7058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66D"/>
    <w:multiLevelType w:val="hybridMultilevel"/>
    <w:tmpl w:val="BBB6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107"/>
    <w:multiLevelType w:val="hybridMultilevel"/>
    <w:tmpl w:val="24A2B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6354"/>
    <w:multiLevelType w:val="hybridMultilevel"/>
    <w:tmpl w:val="558E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F"/>
    <w:rsid w:val="0008234F"/>
    <w:rsid w:val="00106903"/>
    <w:rsid w:val="00160822"/>
    <w:rsid w:val="001661C6"/>
    <w:rsid w:val="00236567"/>
    <w:rsid w:val="002472B6"/>
    <w:rsid w:val="0032718A"/>
    <w:rsid w:val="003913B3"/>
    <w:rsid w:val="003C58F1"/>
    <w:rsid w:val="00480710"/>
    <w:rsid w:val="004A6C9C"/>
    <w:rsid w:val="004D3246"/>
    <w:rsid w:val="00502E1A"/>
    <w:rsid w:val="00560B9C"/>
    <w:rsid w:val="006706A4"/>
    <w:rsid w:val="00683DF2"/>
    <w:rsid w:val="00712E7C"/>
    <w:rsid w:val="007719CE"/>
    <w:rsid w:val="00785228"/>
    <w:rsid w:val="007D73CD"/>
    <w:rsid w:val="007F2C8D"/>
    <w:rsid w:val="00807991"/>
    <w:rsid w:val="008147F3"/>
    <w:rsid w:val="00835D23"/>
    <w:rsid w:val="00881152"/>
    <w:rsid w:val="008965DF"/>
    <w:rsid w:val="008B518F"/>
    <w:rsid w:val="008C0B48"/>
    <w:rsid w:val="0092052F"/>
    <w:rsid w:val="00960434"/>
    <w:rsid w:val="00977BFC"/>
    <w:rsid w:val="009A6D90"/>
    <w:rsid w:val="009B42E7"/>
    <w:rsid w:val="009E4269"/>
    <w:rsid w:val="009F38D0"/>
    <w:rsid w:val="00A16B4D"/>
    <w:rsid w:val="00A706EF"/>
    <w:rsid w:val="00A96E47"/>
    <w:rsid w:val="00AE56CE"/>
    <w:rsid w:val="00B0284D"/>
    <w:rsid w:val="00B133A2"/>
    <w:rsid w:val="00B82C43"/>
    <w:rsid w:val="00B952E4"/>
    <w:rsid w:val="00B95331"/>
    <w:rsid w:val="00B9599F"/>
    <w:rsid w:val="00BA2E4D"/>
    <w:rsid w:val="00C41ECF"/>
    <w:rsid w:val="00C6257B"/>
    <w:rsid w:val="00C93012"/>
    <w:rsid w:val="00C94397"/>
    <w:rsid w:val="00CF0C58"/>
    <w:rsid w:val="00CF698D"/>
    <w:rsid w:val="00D43BE6"/>
    <w:rsid w:val="00D61A11"/>
    <w:rsid w:val="00D96C80"/>
    <w:rsid w:val="00DD1BE9"/>
    <w:rsid w:val="00EB5500"/>
    <w:rsid w:val="00EE460C"/>
    <w:rsid w:val="00F96760"/>
    <w:rsid w:val="00FB29F5"/>
    <w:rsid w:val="1479F416"/>
    <w:rsid w:val="2F0284F4"/>
    <w:rsid w:val="37515ED8"/>
    <w:rsid w:val="4B35F5FB"/>
    <w:rsid w:val="5AA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250F"/>
  <w15:chartTrackingRefBased/>
  <w15:docId w15:val="{908DE6E5-B765-4380-AD26-B25A4A7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9F"/>
    <w:pPr>
      <w:ind w:left="720"/>
      <w:contextualSpacing/>
    </w:pPr>
  </w:style>
  <w:style w:type="table" w:styleId="TableGrid">
    <w:name w:val="Table Grid"/>
    <w:basedOn w:val="TableNormal"/>
    <w:uiPriority w:val="39"/>
    <w:rsid w:val="0096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2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Thuy</dc:creator>
  <cp:keywords/>
  <dc:description/>
  <cp:lastModifiedBy>Smith, Valerie Anne</cp:lastModifiedBy>
  <cp:revision>2</cp:revision>
  <cp:lastPrinted>2022-06-07T13:12:00Z</cp:lastPrinted>
  <dcterms:created xsi:type="dcterms:W3CDTF">2025-02-28T19:20:00Z</dcterms:created>
  <dcterms:modified xsi:type="dcterms:W3CDTF">2025-02-28T19:20:00Z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2021-05-04T20:38:22Z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b7fee169-23bb-4fa9-b124-25c15597012b</vt:lpwstr>
  </property>
  <property fmtid="{D5CDD505-2E9C-101B-9397-08002B2CF9AE}" pid="8" name="MSIP_Label_5e4b1be8-281e-475d-98b0-21c3457e5a46_ContentBits">
    <vt:lpwstr>0</vt:lpwstr>
  </property>
</Properties>
</file>